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335" w:rsidRPr="00C8271C" w:rsidRDefault="00C8271C" w:rsidP="00C827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8271C">
        <w:rPr>
          <w:rFonts w:ascii="Times New Roman" w:hAnsi="Times New Roman" w:cs="Times New Roman"/>
          <w:b/>
          <w:sz w:val="28"/>
          <w:szCs w:val="28"/>
        </w:rPr>
        <w:t>Лекция 2. Основные параметры рудника. Методы определения.</w:t>
      </w:r>
    </w:p>
    <w:bookmarkEnd w:id="0"/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271C" w:rsidRPr="00E845C8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E845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ОСНОВНЫЕ ПАРАМЕТРЫ РУДНИКА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271C" w:rsidRPr="00C72522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2522">
        <w:rPr>
          <w:rFonts w:ascii="Times New Roman" w:eastAsia="Times New Roman" w:hAnsi="Times New Roman" w:cs="Times New Roman"/>
          <w:sz w:val="28"/>
          <w:szCs w:val="28"/>
        </w:rPr>
        <w:t>К основным параметрам рудников относятся промышленные запасы руды в шахтном поле или месторождении (</w:t>
      </w:r>
      <w:r w:rsidRPr="00C72522">
        <w:rPr>
          <w:rFonts w:ascii="Times New Roman" w:eastAsia="Times New Roman" w:hAnsi="Times New Roman" w:cs="Times New Roman"/>
          <w:i/>
          <w:sz w:val="28"/>
          <w:szCs w:val="28"/>
        </w:rPr>
        <w:t>Q,</w:t>
      </w:r>
      <w:r w:rsidRPr="00C72522">
        <w:rPr>
          <w:rFonts w:ascii="Times New Roman" w:eastAsia="Times New Roman" w:hAnsi="Times New Roman" w:cs="Times New Roman"/>
          <w:sz w:val="28"/>
          <w:szCs w:val="28"/>
        </w:rPr>
        <w:t xml:space="preserve"> тыс.т), горизонтальная площадь рудных тел в пределах шахтного поля или месторождения (</w:t>
      </w:r>
      <w:r w:rsidRPr="00C72522">
        <w:rPr>
          <w:rFonts w:ascii="Times New Roman" w:eastAsia="Times New Roman" w:hAnsi="Times New Roman" w:cs="Times New Roman"/>
          <w:i/>
          <w:sz w:val="28"/>
          <w:szCs w:val="28"/>
        </w:rPr>
        <w:t>S</w:t>
      </w:r>
      <w:r w:rsidRPr="00C72522">
        <w:rPr>
          <w:rFonts w:ascii="Times New Roman" w:eastAsia="Times New Roman" w:hAnsi="Times New Roman" w:cs="Times New Roman"/>
          <w:sz w:val="28"/>
          <w:szCs w:val="28"/>
        </w:rPr>
        <w:t>, м</w:t>
      </w:r>
      <w:r w:rsidRPr="00C7252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r w:rsidRPr="00C72522">
        <w:rPr>
          <w:rFonts w:ascii="Times New Roman" w:eastAsia="Times New Roman" w:hAnsi="Times New Roman" w:cs="Times New Roman"/>
          <w:sz w:val="28"/>
          <w:szCs w:val="28"/>
        </w:rPr>
        <w:t>), глубины залегания и распространения месторождения от поверхности (</w:t>
      </w:r>
      <w:r w:rsidRPr="00C72522">
        <w:rPr>
          <w:rFonts w:ascii="Times New Roman" w:eastAsia="Times New Roman" w:hAnsi="Times New Roman" w:cs="Times New Roman"/>
          <w:i/>
          <w:sz w:val="28"/>
          <w:szCs w:val="28"/>
        </w:rPr>
        <w:t>Н</w:t>
      </w:r>
      <w:r w:rsidRPr="00C72522">
        <w:rPr>
          <w:rFonts w:ascii="Times New Roman" w:eastAsia="Times New Roman" w:hAnsi="Times New Roman" w:cs="Times New Roman"/>
          <w:sz w:val="28"/>
          <w:szCs w:val="28"/>
        </w:rPr>
        <w:t>, м), высота этажа (</w:t>
      </w:r>
      <w:r w:rsidRPr="00C72522">
        <w:rPr>
          <w:rFonts w:ascii="Times New Roman" w:eastAsia="Times New Roman" w:hAnsi="Times New Roman" w:cs="Times New Roman"/>
          <w:i/>
          <w:sz w:val="28"/>
          <w:szCs w:val="28"/>
        </w:rPr>
        <w:t>h</w:t>
      </w:r>
      <w:r w:rsidRPr="00C72522">
        <w:rPr>
          <w:rFonts w:ascii="Times New Roman" w:eastAsia="Times New Roman" w:hAnsi="Times New Roman" w:cs="Times New Roman"/>
          <w:sz w:val="28"/>
          <w:szCs w:val="28"/>
          <w:vertAlign w:val="subscript"/>
        </w:rPr>
        <w:t>э</w:t>
      </w:r>
      <w:r w:rsidRPr="00C72522">
        <w:rPr>
          <w:rFonts w:ascii="Times New Roman" w:eastAsia="Times New Roman" w:hAnsi="Times New Roman" w:cs="Times New Roman"/>
          <w:sz w:val="28"/>
          <w:szCs w:val="28"/>
        </w:rPr>
        <w:t>, м), годовая производственная мощность рудника (</w:t>
      </w:r>
      <w:r w:rsidRPr="00C72522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Pr="00C72522">
        <w:rPr>
          <w:rFonts w:ascii="Times New Roman" w:eastAsia="Times New Roman" w:hAnsi="Times New Roman" w:cs="Times New Roman"/>
          <w:sz w:val="28"/>
          <w:szCs w:val="28"/>
        </w:rPr>
        <w:t>, тыс.т) и расчетный срок существования рудника (</w:t>
      </w:r>
      <w:r w:rsidRPr="00C72522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C72522">
        <w:rPr>
          <w:rFonts w:ascii="Times New Roman" w:eastAsia="Times New Roman" w:hAnsi="Times New Roman" w:cs="Times New Roman"/>
          <w:sz w:val="28"/>
          <w:szCs w:val="28"/>
        </w:rPr>
        <w:t>, лет). Глубина залегания, горизонтальная площадь рудных тел (как размер шахтного поля) и высота этажа являются основными параметрами вскрытия. От величины годовой производительности зависят поперечные сечения выработок.</w:t>
      </w:r>
    </w:p>
    <w:p w:rsidR="00C8271C" w:rsidRPr="00C72522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2522">
        <w:rPr>
          <w:rFonts w:ascii="Times New Roman" w:eastAsia="Times New Roman" w:hAnsi="Times New Roman" w:cs="Times New Roman"/>
          <w:sz w:val="28"/>
          <w:szCs w:val="28"/>
        </w:rPr>
        <w:t>По размерам поперечного сечения стволов шахт (</w:t>
      </w:r>
      <w:r w:rsidRPr="00C72522">
        <w:rPr>
          <w:rFonts w:ascii="Times New Roman" w:eastAsia="Times New Roman" w:hAnsi="Times New Roman" w:cs="Times New Roman"/>
          <w:i/>
          <w:sz w:val="28"/>
          <w:szCs w:val="28"/>
        </w:rPr>
        <w:t>S</w:t>
      </w:r>
      <w:r w:rsidRPr="00C72522">
        <w:rPr>
          <w:rFonts w:ascii="Times New Roman" w:eastAsia="Times New Roman" w:hAnsi="Times New Roman" w:cs="Times New Roman"/>
          <w:sz w:val="28"/>
          <w:szCs w:val="28"/>
          <w:vertAlign w:val="subscript"/>
        </w:rPr>
        <w:t>c</w:t>
      </w:r>
      <w:r w:rsidRPr="00C72522">
        <w:rPr>
          <w:rFonts w:ascii="Times New Roman" w:eastAsia="Times New Roman" w:hAnsi="Times New Roman" w:cs="Times New Roman"/>
          <w:sz w:val="28"/>
          <w:szCs w:val="28"/>
        </w:rPr>
        <w:t>, м</w:t>
      </w:r>
      <w:r w:rsidRPr="00C7252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r w:rsidRPr="00C72522">
        <w:rPr>
          <w:rFonts w:ascii="Times New Roman" w:eastAsia="Times New Roman" w:hAnsi="Times New Roman" w:cs="Times New Roman"/>
          <w:sz w:val="28"/>
          <w:szCs w:val="28"/>
        </w:rPr>
        <w:t>), околоствольных дворов и околоствольных выработок, капитальных квершлагов, штреков и восстающих устанавливаются сроки вскрытия, подготовки и отработки этажа.</w:t>
      </w:r>
    </w:p>
    <w:p w:rsidR="00C8271C" w:rsidRPr="00C72522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72522">
        <w:rPr>
          <w:rFonts w:ascii="Times New Roman" w:eastAsia="Times New Roman" w:hAnsi="Times New Roman" w:cs="Times New Roman"/>
          <w:sz w:val="28"/>
          <w:szCs w:val="28"/>
        </w:rPr>
        <w:t>Геологические запасы руды, рудная площадь, глубина залегания, угол падения и склонения месторождения представляются вместе с подсчетом запасов.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271C" w:rsidRPr="00E845C8" w:rsidRDefault="00C8271C" w:rsidP="00C8271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45C8">
        <w:rPr>
          <w:rFonts w:ascii="Times New Roman" w:hAnsi="Times New Roman" w:cs="Times New Roman"/>
          <w:b/>
          <w:sz w:val="28"/>
          <w:szCs w:val="28"/>
        </w:rPr>
        <w:t xml:space="preserve">2.1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FE0DAF">
        <w:rPr>
          <w:rFonts w:ascii="Times New Roman" w:hAnsi="Times New Roman" w:cs="Times New Roman"/>
          <w:b/>
          <w:sz w:val="28"/>
          <w:szCs w:val="28"/>
        </w:rPr>
        <w:t xml:space="preserve">апасы полезных ископаемых месторождения и </w:t>
      </w:r>
      <w:r>
        <w:rPr>
          <w:rFonts w:ascii="Times New Roman" w:hAnsi="Times New Roman" w:cs="Times New Roman"/>
          <w:b/>
          <w:sz w:val="28"/>
          <w:szCs w:val="28"/>
        </w:rPr>
        <w:t>их подсчет</w:t>
      </w:r>
    </w:p>
    <w:p w:rsidR="00C8271C" w:rsidRDefault="00C8271C" w:rsidP="00C827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6427">
        <w:rPr>
          <w:rFonts w:ascii="Times New Roman" w:hAnsi="Times New Roman" w:cs="Times New Roman"/>
          <w:sz w:val="28"/>
          <w:szCs w:val="28"/>
        </w:rPr>
        <w:t xml:space="preserve">Под термином «запасы» подразумевают количество полезного ископаемого в месторождении или его части. </w:t>
      </w:r>
    </w:p>
    <w:p w:rsidR="00C8271C" w:rsidRPr="00AF6427" w:rsidRDefault="00C8271C" w:rsidP="00C827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Запасы полезного ископаемого являются одним из основных факторов, влияющих на промышленную оценку месторождения, масштаб и срок деятельности горнодобывающего предприятия.</w:t>
      </w:r>
    </w:p>
    <w:p w:rsidR="00C8271C" w:rsidRPr="00AF6427" w:rsidRDefault="00C8271C" w:rsidP="00C827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Подсчет запасов руды и содержащихся в ней полезных компонентов производится по данным геологической разведки. В зависимости от степени разведанности запасов полезных ископаемых месторождения принимается решение о строительстве рудника.</w:t>
      </w:r>
    </w:p>
    <w:p w:rsidR="00C8271C" w:rsidRPr="00AF6427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427">
        <w:rPr>
          <w:rFonts w:ascii="Times New Roman" w:hAnsi="Times New Roman" w:cs="Times New Roman"/>
          <w:sz w:val="28"/>
          <w:szCs w:val="28"/>
        </w:rPr>
        <w:t>В зависимости от степени разведанности и изученности месторождения 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F6427">
        <w:rPr>
          <w:rFonts w:ascii="Times New Roman" w:hAnsi="Times New Roman" w:cs="Times New Roman"/>
          <w:sz w:val="28"/>
          <w:szCs w:val="28"/>
        </w:rPr>
        <w:t xml:space="preserve">пасы разделяют на 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четыре категории – </w:t>
      </w: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AF642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AF642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8271C" w:rsidRPr="00AF6427" w:rsidRDefault="00C8271C" w:rsidP="00C827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Запасы категории А 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>вполне разведаны в геологическом и гидрогеологическом отношении. Они оконтурены скважинами и выработками, в них выявлены содержание полезных компонентов и сорта руд, а также определена технология их разработки.</w:t>
      </w:r>
    </w:p>
    <w:p w:rsidR="00C8271C" w:rsidRPr="00AF6427" w:rsidRDefault="00C8271C" w:rsidP="00C827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Запасы категории В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разведаны и оконтурены, выявлены условия залегания, типы и сорта полезных ископаемых, их качественные и технологические характеристики без детализации. В достаточной степени изучены гидрогеологические условия</w:t>
      </w:r>
    </w:p>
    <w:p w:rsidR="00C8271C" w:rsidRPr="00AF6427" w:rsidRDefault="00C8271C" w:rsidP="00C827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Запасы категории С</w:t>
      </w:r>
      <w:r w:rsidRPr="00AF642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разведаны на основании редкой сетки скважин или выработок. Типы руд, их качественные и технологические характеристики не выявлены в достаточной степени, особенно в сложных месторождениях. 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Общие условия разработки и гидрогеологические условия изучены предварительно.</w:t>
      </w:r>
    </w:p>
    <w:p w:rsidR="00C8271C" w:rsidRPr="00AF6427" w:rsidRDefault="00C8271C" w:rsidP="00C827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Запасы категории С</w:t>
      </w:r>
      <w:r w:rsidRPr="00AF642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примыкают к запасам, разведанным по категориям </w:t>
      </w: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AF64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AF642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к запасам, предполагаемым на основании данных геологических и геофизических исследований, подтвержденных данными опробования из отдельных скважин и выработок.</w:t>
      </w:r>
    </w:p>
    <w:p w:rsidR="00C8271C" w:rsidRPr="00AF6427" w:rsidRDefault="00C8271C" w:rsidP="00C827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6427">
        <w:rPr>
          <w:rFonts w:ascii="Times New Roman" w:hAnsi="Times New Roman" w:cs="Times New Roman"/>
          <w:sz w:val="28"/>
          <w:szCs w:val="28"/>
        </w:rPr>
        <w:t>Запасы, залегающие в недрах до технических доступных глубин, подсчитанные тем или иным способом, носят название геологических запасов.</w:t>
      </w:r>
    </w:p>
    <w:p w:rsidR="00C8271C" w:rsidRPr="00AF6427" w:rsidRDefault="00C8271C" w:rsidP="00C827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642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возможности использования они подразделяются на балансовые и забалансовые.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02B6">
        <w:rPr>
          <w:rFonts w:ascii="Times New Roman" w:hAnsi="Times New Roman" w:cs="Times New Roman"/>
          <w:sz w:val="28"/>
          <w:szCs w:val="28"/>
        </w:rPr>
        <w:t>Геологические запасы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8271C" w:rsidRDefault="00C8271C" w:rsidP="00C8271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8271C" w:rsidRDefault="00C8271C" w:rsidP="00C8271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FE0DAF">
        <w:rPr>
          <w:rFonts w:ascii="Times New Roman" w:hAnsi="Times New Roman" w:cs="Times New Roman"/>
          <w:i/>
          <w:sz w:val="28"/>
          <w:szCs w:val="28"/>
        </w:rPr>
        <w:t>А</w:t>
      </w:r>
      <w:r w:rsidRPr="00FE0DAF">
        <w:rPr>
          <w:rFonts w:ascii="Times New Roman" w:hAnsi="Times New Roman" w:cs="Times New Roman"/>
          <w:i/>
          <w:sz w:val="28"/>
          <w:szCs w:val="28"/>
          <w:vertAlign w:val="subscript"/>
        </w:rPr>
        <w:t>геол</w:t>
      </w:r>
      <w:r w:rsidRPr="00FE0DAF">
        <w:rPr>
          <w:rFonts w:ascii="Times New Roman" w:hAnsi="Times New Roman" w:cs="Times New Roman"/>
          <w:i/>
          <w:sz w:val="28"/>
          <w:szCs w:val="28"/>
        </w:rPr>
        <w:t>=А</w:t>
      </w:r>
      <w:r w:rsidRPr="00FE0DAF">
        <w:rPr>
          <w:rFonts w:ascii="Times New Roman" w:hAnsi="Times New Roman" w:cs="Times New Roman"/>
          <w:i/>
          <w:sz w:val="28"/>
          <w:szCs w:val="28"/>
          <w:vertAlign w:val="subscript"/>
        </w:rPr>
        <w:t>бал</w:t>
      </w:r>
      <w:r w:rsidRPr="00FE0DAF">
        <w:rPr>
          <w:rFonts w:ascii="Times New Roman" w:hAnsi="Times New Roman" w:cs="Times New Roman"/>
          <w:i/>
          <w:sz w:val="28"/>
          <w:szCs w:val="28"/>
        </w:rPr>
        <w:t>+А</w:t>
      </w:r>
      <w:r w:rsidRPr="00FE0DAF">
        <w:rPr>
          <w:rFonts w:ascii="Times New Roman" w:hAnsi="Times New Roman" w:cs="Times New Roman"/>
          <w:i/>
          <w:sz w:val="28"/>
          <w:szCs w:val="28"/>
          <w:vertAlign w:val="subscript"/>
        </w:rPr>
        <w:t>заб</w:t>
      </w:r>
      <w:r>
        <w:rPr>
          <w:rFonts w:ascii="Times New Roman" w:hAnsi="Times New Roman" w:cs="Times New Roman"/>
          <w:sz w:val="28"/>
          <w:szCs w:val="28"/>
        </w:rPr>
        <w:t xml:space="preserve"> , т                                                              (2.1)</w:t>
      </w:r>
    </w:p>
    <w:p w:rsidR="00C8271C" w:rsidRDefault="00C8271C" w:rsidP="00C8271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8271C" w:rsidRDefault="00C8271C" w:rsidP="00C827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2B6">
        <w:rPr>
          <w:rFonts w:ascii="Times New Roman" w:hAnsi="Times New Roman" w:cs="Times New Roman"/>
          <w:sz w:val="28"/>
          <w:szCs w:val="28"/>
        </w:rPr>
        <w:t>где А</w:t>
      </w:r>
      <w:r w:rsidRPr="00E902B6">
        <w:rPr>
          <w:rFonts w:ascii="Times New Roman" w:hAnsi="Times New Roman" w:cs="Times New Roman"/>
          <w:sz w:val="28"/>
          <w:szCs w:val="28"/>
          <w:vertAlign w:val="subscript"/>
        </w:rPr>
        <w:t>бал</w:t>
      </w:r>
      <w:r w:rsidRPr="00E902B6">
        <w:rPr>
          <w:rFonts w:ascii="Times New Roman" w:hAnsi="Times New Roman" w:cs="Times New Roman"/>
          <w:sz w:val="28"/>
          <w:szCs w:val="28"/>
        </w:rPr>
        <w:t xml:space="preserve"> – балансовые запасы, т; А</w:t>
      </w:r>
      <w:r w:rsidRPr="00E902B6">
        <w:rPr>
          <w:rFonts w:ascii="Times New Roman" w:hAnsi="Times New Roman" w:cs="Times New Roman"/>
          <w:sz w:val="28"/>
          <w:szCs w:val="28"/>
          <w:vertAlign w:val="subscript"/>
        </w:rPr>
        <w:t>заб</w:t>
      </w:r>
      <w:r w:rsidRPr="00E902B6">
        <w:rPr>
          <w:rFonts w:ascii="Times New Roman" w:hAnsi="Times New Roman" w:cs="Times New Roman"/>
          <w:sz w:val="28"/>
          <w:szCs w:val="28"/>
        </w:rPr>
        <w:t xml:space="preserve"> – забалансовые запасы, 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F642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6427">
        <w:rPr>
          <w:rFonts w:ascii="Times New Roman" w:hAnsi="Times New Roman" w:cs="Times New Roman"/>
          <w:sz w:val="28"/>
          <w:szCs w:val="28"/>
        </w:rPr>
        <w:t xml:space="preserve">Геологические запасы, удовлетворяющие промышленным кондицию и горнотехническим условиям эксплуатации, называют </w:t>
      </w:r>
      <w:r w:rsidRPr="00162243">
        <w:rPr>
          <w:rFonts w:ascii="Times New Roman" w:hAnsi="Times New Roman" w:cs="Times New Roman"/>
          <w:b/>
          <w:i/>
          <w:sz w:val="28"/>
          <w:szCs w:val="28"/>
        </w:rPr>
        <w:t>балансовыми</w:t>
      </w:r>
      <w:r w:rsidRPr="00AF6427">
        <w:rPr>
          <w:rFonts w:ascii="Times New Roman" w:hAnsi="Times New Roman" w:cs="Times New Roman"/>
          <w:sz w:val="28"/>
          <w:szCs w:val="28"/>
        </w:rPr>
        <w:t xml:space="preserve">. Остальная часть геологических запасов месторождения, использование которой в настоящее время нецелесообразно, но которая может быть использована в дальнейшем при соответствующем техническом прогрессе, относится к категории </w:t>
      </w:r>
      <w:r w:rsidRPr="00162243">
        <w:rPr>
          <w:rFonts w:ascii="Times New Roman" w:hAnsi="Times New Roman" w:cs="Times New Roman"/>
          <w:b/>
          <w:i/>
          <w:sz w:val="28"/>
          <w:szCs w:val="28"/>
        </w:rPr>
        <w:t>забалансовых</w:t>
      </w:r>
      <w:r w:rsidRPr="00AF642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271C" w:rsidRPr="006F6ACD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6F6ACD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2.2. Производственная мощность рудника </w:t>
      </w:r>
    </w:p>
    <w:p w:rsidR="00C8271C" w:rsidRPr="00AA6B24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  <w:t>Производственная мощность рудника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это количество руды в тоннах добываемой за определенный период работы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рудника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(за смену, сутки, месяц, год). На шахте за период работы принимается год, поэтому производственную мощность называют годовой производительностью рудника. От годовой производительности горного предприятия зависят количество капитальных вложений в его строительство или реконструкцию, себестоимость добычи и переработки 1 т полезного ископаемого, приведенные затраты, ожидаемая или полученная прибыль, эффективность капиталовложений и другие технико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экономические показатели. 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Производительность современных горных предприятий колеблется в значительных пределах: от 100 тыс. т/год до 5 млн. т/год. </w:t>
      </w:r>
    </w:p>
    <w:p w:rsidR="00C8271C" w:rsidRPr="00E16F7E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16F7E">
        <w:rPr>
          <w:rFonts w:ascii="Times New Roman" w:eastAsia="Times New Roman" w:hAnsi="Times New Roman" w:cs="Arial"/>
          <w:sz w:val="28"/>
          <w:szCs w:val="28"/>
          <w:lang w:eastAsia="ru-RU"/>
        </w:rPr>
        <w:t>Годовая производственная мощность рудника определяется по горнотехническим условиям и экономическим соображениям.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16F7E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Годовая производительность по горным возможностям означает размер годовой добычи полезного ископаемого, который возможно получить на рассматриваемом месторождении или его части при определенной технике, технологии и организации его разработки. 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16F7E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Годовую производственную мощность рудника по горным возможностям для месторождений с углом падения 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менее 30</w:t>
      </w:r>
      <w:r>
        <w:rPr>
          <w:rFonts w:ascii="Times New Roman" w:eastAsia="Times New Roman" w:hAnsi="Times New Roman" w:cs="Arial"/>
          <w:sz w:val="28"/>
          <w:szCs w:val="28"/>
          <w:vertAlign w:val="superscript"/>
          <w:lang w:eastAsia="ru-RU"/>
        </w:rPr>
        <w:t>0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E16F7E">
        <w:rPr>
          <w:rFonts w:ascii="Times New Roman" w:eastAsia="Times New Roman" w:hAnsi="Times New Roman" w:cs="Arial"/>
          <w:sz w:val="28"/>
          <w:szCs w:val="28"/>
          <w:lang w:eastAsia="ru-RU"/>
        </w:rPr>
        <w:t>рекомендуется определять исходя из величины годового понижения уровня выемки на месторождении по формуле: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Pr="009024DD" w:rsidRDefault="00C8271C" w:rsidP="00C8271C">
      <w:pPr>
        <w:spacing w:line="292" w:lineRule="auto"/>
        <w:ind w:right="20"/>
        <w:jc w:val="center"/>
        <w:rPr>
          <w:rFonts w:ascii="Times New Roman" w:eastAsia="Times New Roman" w:hAnsi="Times New Roman"/>
          <w:i/>
          <w:sz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</w:rPr>
                <m:t>А</m:t>
              </m:r>
            </m:e>
            <m:sub>
              <m:r>
                <w:rPr>
                  <w:rFonts w:ascii="Cambria Math" w:eastAsia="Times New Roman" w:hAnsi="Cambria Math"/>
                  <w:sz w:val="28"/>
                </w:rPr>
                <m:t>Г</m:t>
              </m:r>
            </m:sub>
          </m:sSub>
          <m:r>
            <w:rPr>
              <w:rFonts w:ascii="Cambria Math" w:eastAsia="Times New Roman" w:hAnsi="Cambria Math"/>
              <w:sz w:val="28"/>
            </w:rPr>
            <m:t>=</m:t>
          </m:r>
          <m:r>
            <w:rPr>
              <w:rFonts w:ascii="Cambria Math" w:eastAsia="Times New Roman" w:hAnsi="Cambria Math"/>
              <w:sz w:val="28"/>
              <w:lang w:val="en-US"/>
            </w:rPr>
            <m:t>S</m:t>
          </m:r>
          <m:r>
            <w:rPr>
              <w:rFonts w:ascii="Cambria Math" w:eastAsia="Times New Roman" w:hAnsi="Cambria Math"/>
              <w:sz w:val="28"/>
            </w:rPr>
            <m:t>∙</m:t>
          </m:r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</w:rPr>
                <m:t>К</m:t>
              </m:r>
            </m:e>
            <m:sub>
              <m:r>
                <w:rPr>
                  <w:rFonts w:ascii="Cambria Math" w:eastAsia="Times New Roman" w:hAnsi="Cambria Math"/>
                  <w:sz w:val="28"/>
                </w:rPr>
                <m:t>И</m:t>
              </m:r>
            </m:sub>
          </m:sSub>
          <m:nary>
            <m:naryPr>
              <m:chr m:val="∑"/>
              <m:limLoc m:val="undOvr"/>
              <m:ctrlPr>
                <w:rPr>
                  <w:rFonts w:ascii="Cambria Math" w:eastAsia="Times New Roman" w:hAnsi="Cambria Math"/>
                  <w:i/>
                  <w:sz w:val="28"/>
                  <w:lang w:val="en-US"/>
                </w:rPr>
              </m:ctrlPr>
            </m:naryPr>
            <m:sub>
              <m:r>
                <w:rPr>
                  <w:rFonts w:ascii="Cambria Math" w:eastAsia="Times New Roman" w:hAnsi="Cambria Math"/>
                  <w:sz w:val="28"/>
                  <w:lang w:val="en-US"/>
                </w:rPr>
                <m:t>i</m:t>
              </m:r>
              <m:r>
                <w:rPr>
                  <w:rFonts w:ascii="Cambria Math" w:eastAsia="Times New Roman" w:hAnsi="Cambria Math"/>
                  <w:sz w:val="28"/>
                </w:rPr>
                <m:t>=1</m:t>
              </m:r>
            </m:sub>
            <m:sup>
              <m:r>
                <w:rPr>
                  <w:rFonts w:ascii="Cambria Math" w:eastAsia="Times New Roman" w:hAnsi="Cambria Math"/>
                  <w:sz w:val="28"/>
                  <w:lang w:val="en-US"/>
                </w:rPr>
                <m:t>i</m:t>
              </m:r>
              <m:r>
                <w:rPr>
                  <w:rFonts w:ascii="Cambria Math" w:eastAsia="Times New Roman" w:hAnsi="Cambria Math"/>
                  <w:sz w:val="28"/>
                </w:rPr>
                <m:t>-</m:t>
              </m:r>
              <m:r>
                <w:rPr>
                  <w:rFonts w:ascii="Cambria Math" w:eastAsia="Times New Roman" w:hAnsi="Cambria Math"/>
                  <w:sz w:val="28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Times New Roman" w:hAnsi="Cambria Math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28"/>
                      <w:lang w:val="en-US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lang w:val="en-US"/>
                    </w:rPr>
                    <m:t>i</m:t>
                  </m:r>
                </m:sub>
              </m:sSub>
              <m:f>
                <m:fPr>
                  <m:ctrlPr>
                    <w:rPr>
                      <w:rFonts w:ascii="Cambria Math" w:eastAsia="Times New Roman" w:hAnsi="Cambria Math"/>
                      <w:i/>
                      <w:sz w:val="28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lang w:val="en-US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lang w:val="en-US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8"/>
                          <w:lang w:val="en-US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8"/>
                          <w:lang w:val="en-US"/>
                        </w:rPr>
                        <m:t>i</m:t>
                      </m:r>
                    </m:sub>
                  </m:sSub>
                </m:den>
              </m:f>
            </m:e>
          </m:nary>
        </m:oMath>
      </m:oMathPara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т/год,    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                                         (2.5)</w:t>
      </w:r>
    </w:p>
    <w:p w:rsidR="00C8271C" w:rsidRPr="00AA6B24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где S – горизонтальная площадь месторождения, тыс. м</w:t>
      </w:r>
      <w:r w:rsidRPr="00AA6B24">
        <w:rPr>
          <w:rFonts w:ascii="Times New Roman" w:eastAsia="Times New Roman" w:hAnsi="Times New Roman" w:cs="Arial"/>
          <w:sz w:val="28"/>
          <w:szCs w:val="28"/>
          <w:vertAlign w:val="superscript"/>
          <w:lang w:eastAsia="ru-RU"/>
        </w:rPr>
        <w:t>2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 w:rsidRPr="00AA6B24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и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коэффициент использования рудной площади (см. табл.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2.1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);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n – число применяемых на рудной шахте систем разработки; </w:t>
      </w:r>
    </w:p>
    <w:p w:rsidR="00C8271C" w:rsidRPr="00AA6B24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di – производительность блока или панели в зависимости от применяемой системы разработки, при сплошных или камерно-столбовых системах разработки может составлять 360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720 тыс. т/год, при столбовых системах разработки – 720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1200 тыс. т/год; </w:t>
      </w:r>
    </w:p>
    <w:p w:rsidR="00C8271C" w:rsidRPr="00AA6B24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Si – площадь блока или панели в очистной выемке, в зависимости от применяемой системы разработки, равная при сплошных или камерно-столбовых системах разработки 30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60 тыс. м</w:t>
      </w:r>
      <w:r w:rsidRPr="00D51850">
        <w:rPr>
          <w:rFonts w:ascii="Times New Roman" w:eastAsia="Times New Roman" w:hAnsi="Times New Roman" w:cs="Arial"/>
          <w:sz w:val="28"/>
          <w:szCs w:val="28"/>
          <w:vertAlign w:val="superscript"/>
          <w:lang w:eastAsia="ru-RU"/>
        </w:rPr>
        <w:t>2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, при столбовых системах разработки – 60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90 тыс. м</w:t>
      </w:r>
      <w:r w:rsidRPr="00770842">
        <w:rPr>
          <w:rFonts w:ascii="Times New Roman" w:eastAsia="Times New Roman" w:hAnsi="Times New Roman" w:cs="Arial"/>
          <w:sz w:val="28"/>
          <w:szCs w:val="28"/>
          <w:vertAlign w:val="superscript"/>
          <w:lang w:eastAsia="ru-RU"/>
        </w:rPr>
        <w:t>2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k</w:t>
      </w:r>
      <w:r w:rsidRPr="00AA6B24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i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доля применяемых систем разработки в общем объеме добычи руды на шахте, равная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:</w:t>
      </w:r>
    </w:p>
    <w:p w:rsidR="00C8271C" w:rsidRDefault="00C8271C" w:rsidP="00C8271C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jc w:val="right"/>
        <w:rPr>
          <w:rFonts w:ascii="Times New Roman" w:eastAsia="Times New Roman" w:hAnsi="Times New Roman" w:cs="Arial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Arial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i</m:t>
            </m:r>
          </m:sub>
        </m:sSub>
        <m:r>
          <w:rPr>
            <w:rFonts w:ascii="Cambria Math" w:eastAsia="Times New Roman" w:hAnsi="Cambria Math" w:cs="Arial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Arial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Arial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Arial"/>
                    <w:sz w:val="28"/>
                    <w:szCs w:val="28"/>
                    <w:lang w:eastAsia="ru-RU"/>
                  </w:rPr>
                  <m:t>S</m:t>
                </m:r>
              </m:e>
              <m:sub>
                <m:r>
                  <w:rPr>
                    <w:rFonts w:ascii="Cambria Math" w:eastAsia="Times New Roman" w:hAnsi="Cambria Math" w:cs="Arial"/>
                    <w:sz w:val="28"/>
                    <w:szCs w:val="28"/>
                    <w:lang w:eastAsia="ru-RU"/>
                  </w:rPr>
                  <m:t>ср</m:t>
                </m:r>
              </m:sub>
            </m:sSub>
          </m:num>
          <m:den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S</m:t>
            </m:r>
          </m:den>
        </m:f>
      </m:oMath>
      <w:r>
        <w:rPr>
          <w:rFonts w:ascii="Times New Roman" w:eastAsia="Times New Roman" w:hAnsi="Times New Roman" w:cs="Arial"/>
          <w:i/>
          <w:sz w:val="28"/>
          <w:szCs w:val="28"/>
          <w:lang w:eastAsia="ru-RU"/>
        </w:rPr>
        <w:t xml:space="preserve">, </w:t>
      </w:r>
      <w:r w:rsidRPr="000E60CD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доли ед., 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                                            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6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) </w:t>
      </w:r>
    </w:p>
    <w:p w:rsidR="00C8271C" w:rsidRDefault="00C8271C" w:rsidP="00C8271C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S</w:t>
      </w:r>
      <w:r w:rsidRPr="00AA6B24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ср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рудная площадь разрабатываемая применяемой системой разработки, тыс. м</w:t>
      </w:r>
      <w:r w:rsidRPr="00AA6B24">
        <w:rPr>
          <w:rFonts w:ascii="Times New Roman" w:eastAsia="Times New Roman" w:hAnsi="Times New Roman" w:cs="Arial"/>
          <w:sz w:val="28"/>
          <w:szCs w:val="28"/>
          <w:vertAlign w:val="superscript"/>
          <w:lang w:eastAsia="ru-RU"/>
        </w:rPr>
        <w:t>2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; 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Pr="00770842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770842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2.1</w:t>
      </w:r>
      <w:r w:rsidRPr="00770842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</w:t>
      </w:r>
      <w:r w:rsidRPr="00770842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Коэффициент использования рудной площади </w:t>
      </w:r>
      <w:r w:rsidRPr="00AA6B24"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 w:rsidRPr="00AA6B24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и</w:t>
      </w:r>
      <w:r w:rsidRPr="00770842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в зависимости от горизонтальной площади месторождения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672"/>
        <w:gridCol w:w="4673"/>
      </w:tblGrid>
      <w:tr w:rsidR="00C8271C" w:rsidTr="0036663B">
        <w:trPr>
          <w:jc w:val="center"/>
        </w:trPr>
        <w:tc>
          <w:tcPr>
            <w:tcW w:w="4672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770842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Горизонтальная площадь месторождения, тыс. м</w:t>
            </w:r>
            <w:r w:rsidRPr="00770842">
              <w:rPr>
                <w:rFonts w:ascii="Times New Roman" w:eastAsia="Times New Roman" w:hAnsi="Times New Roman" w:cs="Arial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4673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Коэффициент использования рудной площади, </w:t>
            </w:r>
            <w:r w:rsidRPr="00AA6B2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</w:t>
            </w:r>
            <w:r w:rsidRPr="00AA6B24">
              <w:rPr>
                <w:rFonts w:ascii="Times New Roman" w:eastAsia="Times New Roman" w:hAnsi="Times New Roman" w:cs="Arial"/>
                <w:sz w:val="28"/>
                <w:szCs w:val="28"/>
                <w:vertAlign w:val="subscript"/>
                <w:lang w:eastAsia="ru-RU"/>
              </w:rPr>
              <w:t>и</w:t>
            </w:r>
          </w:p>
        </w:tc>
      </w:tr>
      <w:tr w:rsidR="00C8271C" w:rsidTr="0036663B">
        <w:trPr>
          <w:jc w:val="center"/>
        </w:trPr>
        <w:tc>
          <w:tcPr>
            <w:tcW w:w="4672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5-10</w:t>
            </w:r>
          </w:p>
        </w:tc>
        <w:tc>
          <w:tcPr>
            <w:tcW w:w="4673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0,35-0,27</w:t>
            </w:r>
          </w:p>
        </w:tc>
      </w:tr>
      <w:tr w:rsidR="00C8271C" w:rsidTr="0036663B">
        <w:trPr>
          <w:jc w:val="center"/>
        </w:trPr>
        <w:tc>
          <w:tcPr>
            <w:tcW w:w="4672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10-20</w:t>
            </w:r>
          </w:p>
        </w:tc>
        <w:tc>
          <w:tcPr>
            <w:tcW w:w="4673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0,27-0,23</w:t>
            </w:r>
          </w:p>
        </w:tc>
      </w:tr>
      <w:tr w:rsidR="00C8271C" w:rsidTr="0036663B">
        <w:trPr>
          <w:jc w:val="center"/>
        </w:trPr>
        <w:tc>
          <w:tcPr>
            <w:tcW w:w="4672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20-50</w:t>
            </w:r>
          </w:p>
        </w:tc>
        <w:tc>
          <w:tcPr>
            <w:tcW w:w="4673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0,23-0,17</w:t>
            </w:r>
          </w:p>
        </w:tc>
      </w:tr>
      <w:tr w:rsidR="00C8271C" w:rsidTr="0036663B">
        <w:trPr>
          <w:jc w:val="center"/>
        </w:trPr>
        <w:tc>
          <w:tcPr>
            <w:tcW w:w="4672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50-100</w:t>
            </w:r>
          </w:p>
        </w:tc>
        <w:tc>
          <w:tcPr>
            <w:tcW w:w="4673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0,17-0,13</w:t>
            </w:r>
          </w:p>
        </w:tc>
      </w:tr>
      <w:tr w:rsidR="00C8271C" w:rsidTr="0036663B">
        <w:trPr>
          <w:jc w:val="center"/>
        </w:trPr>
        <w:tc>
          <w:tcPr>
            <w:tcW w:w="4672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100-200</w:t>
            </w:r>
          </w:p>
        </w:tc>
        <w:tc>
          <w:tcPr>
            <w:tcW w:w="4673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0,13-0,09</w:t>
            </w:r>
          </w:p>
        </w:tc>
      </w:tr>
      <w:tr w:rsidR="00C8271C" w:rsidTr="0036663B">
        <w:trPr>
          <w:jc w:val="center"/>
        </w:trPr>
        <w:tc>
          <w:tcPr>
            <w:tcW w:w="4672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200-400</w:t>
            </w:r>
          </w:p>
        </w:tc>
        <w:tc>
          <w:tcPr>
            <w:tcW w:w="4673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0,09-0,06</w:t>
            </w:r>
          </w:p>
        </w:tc>
      </w:tr>
      <w:tr w:rsidR="00C8271C" w:rsidTr="0036663B">
        <w:trPr>
          <w:jc w:val="center"/>
        </w:trPr>
        <w:tc>
          <w:tcPr>
            <w:tcW w:w="4672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&gt;400</w:t>
            </w:r>
          </w:p>
        </w:tc>
        <w:tc>
          <w:tcPr>
            <w:tcW w:w="4673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0,05</w:t>
            </w:r>
          </w:p>
        </w:tc>
      </w:tr>
    </w:tbl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>Годовая производительность рудника по горным возможностям А</w:t>
      </w:r>
      <w:r w:rsidRPr="00733C21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г</w:t>
      </w: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при угле падения рудных тел более 30º определяется по формуле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: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ind w:firstLine="567"/>
        <w:jc w:val="right"/>
        <w:rPr>
          <w:rFonts w:ascii="Times New Roman" w:eastAsia="Times New Roman" w:hAnsi="Times New Roman" w:cs="Arial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Arial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A</m:t>
            </m:r>
          </m:e>
          <m:sub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Г</m:t>
            </m:r>
          </m:sub>
        </m:sSub>
        <m:r>
          <w:rPr>
            <w:rFonts w:ascii="Cambria Math" w:eastAsia="Times New Roman" w:hAnsi="Cambria Math" w:cs="Arial"/>
            <w:sz w:val="28"/>
            <w:szCs w:val="28"/>
            <w:lang w:eastAsia="ru-RU"/>
          </w:rPr>
          <m:t>=v∙</m:t>
        </m:r>
        <m:sSub>
          <m:sSubPr>
            <m:ctrlPr>
              <w:rPr>
                <w:rFonts w:ascii="Cambria Math" w:eastAsia="Times New Roman" w:hAnsi="Cambria Math" w:cs="Arial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1</m:t>
            </m:r>
          </m:sub>
        </m:sSub>
        <m:r>
          <w:rPr>
            <w:rFonts w:ascii="Cambria Math" w:eastAsia="Times New Roman" w:hAnsi="Cambria Math" w:cs="Arial"/>
            <w:sz w:val="28"/>
            <w:szCs w:val="28"/>
            <w:lang w:eastAsia="ru-RU"/>
          </w:rPr>
          <m:t>∙</m:t>
        </m:r>
        <m:sSub>
          <m:sSubPr>
            <m:ctrlPr>
              <w:rPr>
                <w:rFonts w:ascii="Cambria Math" w:eastAsia="Times New Roman" w:hAnsi="Cambria Math" w:cs="Arial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2</m:t>
            </m:r>
          </m:sub>
        </m:sSub>
        <m:r>
          <w:rPr>
            <w:rFonts w:ascii="Cambria Math" w:eastAsia="Times New Roman" w:hAnsi="Cambria Math" w:cs="Arial"/>
            <w:sz w:val="28"/>
            <w:szCs w:val="28"/>
            <w:lang w:eastAsia="ru-RU"/>
          </w:rPr>
          <m:t>∙</m:t>
        </m:r>
        <m:sSub>
          <m:sSubPr>
            <m:ctrlPr>
              <w:rPr>
                <w:rFonts w:ascii="Cambria Math" w:eastAsia="Times New Roman" w:hAnsi="Cambria Math" w:cs="Arial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3</m:t>
            </m:r>
          </m:sub>
        </m:sSub>
        <m:r>
          <w:rPr>
            <w:rFonts w:ascii="Cambria Math" w:eastAsia="Times New Roman" w:hAnsi="Cambria Math" w:cs="Arial"/>
            <w:sz w:val="28"/>
            <w:szCs w:val="28"/>
            <w:lang w:eastAsia="ru-RU"/>
          </w:rPr>
          <m:t>∙</m:t>
        </m:r>
        <m:sSub>
          <m:sSubPr>
            <m:ctrlPr>
              <w:rPr>
                <w:rFonts w:ascii="Cambria Math" w:eastAsia="Times New Roman" w:hAnsi="Cambria Math" w:cs="Arial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4</m:t>
            </m:r>
          </m:sub>
        </m:sSub>
        <m:r>
          <w:rPr>
            <w:rFonts w:ascii="Cambria Math" w:eastAsia="Times New Roman" w:hAnsi="Cambria Math" w:cs="Arial"/>
            <w:sz w:val="28"/>
            <w:szCs w:val="28"/>
            <w:lang w:eastAsia="ru-RU"/>
          </w:rPr>
          <m:t>∙</m:t>
        </m:r>
        <m:sSub>
          <m:sSubPr>
            <m:ctrlPr>
              <w:rPr>
                <w:rFonts w:ascii="Cambria Math" w:eastAsia="Times New Roman" w:hAnsi="Cambria Math" w:cs="Arial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S</m:t>
            </m:r>
          </m:e>
          <m:sub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Г</m:t>
            </m:r>
          </m:sub>
        </m:sSub>
        <m:r>
          <w:rPr>
            <w:rFonts w:ascii="Cambria Math" w:eastAsia="Times New Roman" w:hAnsi="Cambria Math" w:cs="Arial"/>
            <w:sz w:val="28"/>
            <w:szCs w:val="28"/>
            <w:lang w:eastAsia="ru-RU"/>
          </w:rPr>
          <m:t>∙γ</m:t>
        </m:r>
        <m:f>
          <m:fPr>
            <m:ctrlPr>
              <w:rPr>
                <w:rFonts w:ascii="Cambria Math" w:eastAsia="Times New Roman" w:hAnsi="Cambria Math" w:cs="Arial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1-</m:t>
            </m:r>
            <m:r>
              <w:rPr>
                <w:rFonts w:ascii="Cambria Math" w:eastAsia="Times New Roman" w:hAnsi="Cambria Math" w:cs="Arial"/>
                <w:sz w:val="28"/>
                <w:szCs w:val="28"/>
                <w:lang w:val="en-US" w:eastAsia="ru-RU"/>
              </w:rPr>
              <m:t>n</m:t>
            </m:r>
          </m:num>
          <m:den>
            <m:r>
              <w:rPr>
                <w:rFonts w:ascii="Cambria Math" w:eastAsia="Times New Roman" w:hAnsi="Cambria Math" w:cs="Arial"/>
                <w:sz w:val="28"/>
                <w:szCs w:val="28"/>
                <w:lang w:eastAsia="ru-RU"/>
              </w:rPr>
              <m:t>1-ρ</m:t>
            </m:r>
          </m:den>
        </m:f>
      </m:oMath>
      <w:r w:rsidRPr="00BD704C">
        <w:rPr>
          <w:rFonts w:ascii="Times New Roman" w:eastAsia="Times New Roman" w:hAnsi="Times New Roman" w:cs="Arial"/>
          <w:sz w:val="28"/>
          <w:szCs w:val="28"/>
          <w:lang w:val="kk-KZ" w:eastAsia="ru-RU"/>
        </w:rPr>
        <w:t>, т/год</w:t>
      </w:r>
      <w:r>
        <w:rPr>
          <w:rFonts w:ascii="Times New Roman" w:eastAsia="Times New Roman" w:hAnsi="Times New Roman" w:cs="Arial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       (2.7)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где v – среднегодовое понижение уровня выемки, м;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lastRenderedPageBreak/>
        <w:t>К</w:t>
      </w:r>
      <w:r w:rsidRPr="00733C21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1</w:t>
      </w: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>, К</w:t>
      </w:r>
      <w:r w:rsidRPr="00733C21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2</w:t>
      </w: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>, К</w:t>
      </w:r>
      <w:r w:rsidRPr="00733C21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3</w:t>
      </w: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и К</w:t>
      </w:r>
      <w:r w:rsidRPr="00733C21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4</w:t>
      </w: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поправочные коэффициенты к величине годового понижения в соответствии с углами падения, мощностью рудных залежей, применяемыми системами разработки и числом этажей, находящихся одновременно в отработке; </w:t>
      </w:r>
    </w:p>
    <w:p w:rsidR="00C8271C" w:rsidRPr="002141C6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S</w:t>
      </w:r>
      <w:r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Г</w:t>
      </w: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средняя горизонтальная рудная площадь этажа, м</w:t>
      </w:r>
      <w:r w:rsidRPr="006F6ACD">
        <w:rPr>
          <w:rFonts w:ascii="Times New Roman" w:eastAsia="Times New Roman" w:hAnsi="Times New Roman" w:cs="Arial"/>
          <w:sz w:val="28"/>
          <w:szCs w:val="28"/>
          <w:vertAlign w:val="superscript"/>
          <w:lang w:eastAsia="ru-RU"/>
        </w:rPr>
        <w:t>2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V – среднегодовое понижение уровня выемки, м/год, (см. табл.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2.2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);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 w:rsidRPr="00A666AF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1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поправочный коэффициент к величине годового понижения в зависимости от угла падения рудного тела, (см. табл.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2.3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);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 w:rsidRPr="00A666AF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2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поправочный коэффициент к величине годового понижения в зависимости от мощности рудного тела, (см. табл.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2.4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);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 w:rsidRPr="00A666AF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3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поправочный коэффициент к величине годового понижения в зависимости от применяемой системы разработки, (см. табл.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2.5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);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 w:rsidRPr="00A666AF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4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поправочный коэффициент к величине годового понижения в зависимости от числа этажей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,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находящихся одновременно в отработке, (см. табл.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2.6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);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>γ – плотность руды, т/м</w:t>
      </w:r>
      <w:r w:rsidRPr="002141C6">
        <w:rPr>
          <w:rFonts w:ascii="Times New Roman" w:eastAsia="Times New Roman" w:hAnsi="Times New Roman" w:cs="Arial"/>
          <w:sz w:val="28"/>
          <w:szCs w:val="28"/>
          <w:vertAlign w:val="superscript"/>
          <w:lang w:eastAsia="ru-RU"/>
        </w:rPr>
        <w:t>3</w:t>
      </w: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6F6ACD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п</w:t>
      </w: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и </w:t>
      </w:r>
      <w:r w:rsidRPr="006F6ACD">
        <w:rPr>
          <w:rFonts w:ascii="Times New Roman" w:eastAsia="Times New Roman" w:hAnsi="Times New Roman" w:cs="Arial"/>
          <w:i/>
          <w:sz w:val="28"/>
          <w:szCs w:val="28"/>
          <w:lang w:eastAsia="ru-RU"/>
        </w:rPr>
        <w:t>р</w:t>
      </w:r>
      <w:r w:rsidRPr="002141C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–соответственно коэффициенты потерь и разубоживания руды при ее добыче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;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S</w:t>
      </w:r>
      <w:r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Г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средняя горизонтальная рудная площадь этажа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:</w:t>
      </w:r>
    </w:p>
    <w:p w:rsidR="00C8271C" w:rsidRDefault="00C8271C" w:rsidP="00C8271C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line="283" w:lineRule="auto"/>
        <w:ind w:firstLine="568"/>
        <w:jc w:val="right"/>
        <w:rPr>
          <w:rFonts w:ascii="Times New Roman" w:eastAsia="Times New Roman" w:hAnsi="Times New Roman" w:cs="Arial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i/>
                <w:sz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</w:rPr>
              <m:t>S</m:t>
            </m:r>
          </m:e>
          <m:sub>
            <m:r>
              <w:rPr>
                <w:rFonts w:ascii="Cambria Math" w:eastAsia="Times New Roman" w:hAnsi="Cambria Math"/>
                <w:sz w:val="28"/>
              </w:rPr>
              <m:t>Г</m:t>
            </m:r>
          </m:sub>
        </m:sSub>
        <m:r>
          <w:rPr>
            <w:rFonts w:ascii="Cambria Math" w:eastAsia="Times New Roman" w:hAnsi="Cambria Math"/>
            <w:sz w:val="28"/>
          </w:rPr>
          <m:t>=</m:t>
        </m:r>
        <m:sSub>
          <m:sSubPr>
            <m:ctrlPr>
              <w:rPr>
                <w:rFonts w:ascii="Cambria Math" w:eastAsia="Times New Roman" w:hAnsi="Cambria Math"/>
                <w:i/>
                <w:sz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</w:rPr>
              <m:t>Ш.П</m:t>
            </m:r>
          </m:sub>
        </m:sSub>
        <m:r>
          <w:rPr>
            <w:rFonts w:ascii="Cambria Math" w:eastAsia="Times New Roman" w:hAnsi="Cambria Math"/>
            <w:sz w:val="28"/>
          </w:rPr>
          <m:t>∙</m:t>
        </m:r>
        <m:sSub>
          <m:sSubPr>
            <m:ctrlPr>
              <w:rPr>
                <w:rFonts w:ascii="Cambria Math" w:eastAsia="Times New Roman" w:hAnsi="Cambria Math"/>
                <w:i/>
                <w:sz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</w:rPr>
              <m:t>m</m:t>
            </m:r>
          </m:e>
          <m:sub>
            <m:r>
              <w:rPr>
                <w:rFonts w:ascii="Cambria Math" w:eastAsia="Times New Roman" w:hAnsi="Cambria Math"/>
                <w:sz w:val="28"/>
              </w:rPr>
              <m:t>Г</m:t>
            </m:r>
          </m:sub>
        </m:sSub>
        <m:r>
          <w:rPr>
            <w:rFonts w:ascii="Cambria Math" w:eastAsia="Times New Roman" w:hAnsi="Cambria Math"/>
            <w:sz w:val="28"/>
          </w:rPr>
          <m:t>=</m:t>
        </m:r>
        <m:sSub>
          <m:sSubPr>
            <m:ctrlPr>
              <w:rPr>
                <w:rFonts w:ascii="Cambria Math" w:eastAsia="Times New Roman" w:hAnsi="Cambria Math"/>
                <w:i/>
                <w:sz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</w:rPr>
              <m:t>L</m:t>
            </m:r>
          </m:e>
          <m:sub>
            <m:r>
              <w:rPr>
                <w:rFonts w:ascii="Cambria Math" w:eastAsia="Times New Roman" w:hAnsi="Cambria Math"/>
                <w:sz w:val="28"/>
              </w:rPr>
              <m:t>Ш.П</m:t>
            </m:r>
          </m:sub>
        </m:sSub>
        <m:r>
          <w:rPr>
            <w:rFonts w:ascii="Cambria Math" w:eastAsia="Times New Roman" w:hAnsi="Cambria Math"/>
            <w:sz w:val="28"/>
          </w:rPr>
          <m:t>∙</m:t>
        </m:r>
        <m:f>
          <m:fPr>
            <m:ctrlPr>
              <w:rPr>
                <w:rFonts w:ascii="Cambria Math" w:eastAsia="Times New Roman" w:hAnsi="Cambria Math"/>
                <w:i/>
                <w:sz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</w:rPr>
              <m:t>m</m:t>
            </m:r>
          </m:num>
          <m:den>
            <m:r>
              <w:rPr>
                <w:rFonts w:ascii="Cambria Math" w:eastAsia="Times New Roman" w:hAnsi="Cambria Math"/>
                <w:sz w:val="28"/>
              </w:rPr>
              <m:t>sinα</m:t>
            </m:r>
          </m:den>
        </m:f>
      </m:oMath>
      <w:r>
        <w:rPr>
          <w:rFonts w:ascii="Times New Roman" w:eastAsia="Times New Roman" w:hAnsi="Times New Roman"/>
          <w:i/>
          <w:sz w:val="28"/>
        </w:rPr>
        <w:t xml:space="preserve">, </w:t>
      </w:r>
      <w:r w:rsidRPr="00BD704C">
        <w:rPr>
          <w:rFonts w:ascii="Times New Roman" w:eastAsia="Times New Roman" w:hAnsi="Times New Roman"/>
          <w:sz w:val="28"/>
        </w:rPr>
        <w:t>м</w:t>
      </w:r>
      <w:r w:rsidRPr="00BD704C">
        <w:rPr>
          <w:rFonts w:ascii="Times New Roman" w:eastAsia="Times New Roman" w:hAnsi="Times New Roman"/>
          <w:sz w:val="28"/>
          <w:vertAlign w:val="superscript"/>
        </w:rPr>
        <w:t>2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                           (2.8)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где L</w:t>
      </w:r>
      <w:r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Ш.П.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длина шахтного поля по простиранию, м;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m</w:t>
      </w:r>
      <w:r w:rsidRPr="00A666AF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г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горизонтальная мощность рудного тела, м;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m – нормальная мощность рудного тела, м; </w:t>
      </w:r>
    </w:p>
    <w:p w:rsidR="00C8271C" w:rsidRDefault="00C8271C" w:rsidP="00C8271C">
      <w:pPr>
        <w:spacing w:after="0" w:line="240" w:lineRule="auto"/>
        <w:ind w:firstLine="454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α – угол падения рудного тела, град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</w:p>
    <w:p w:rsidR="00C8271C" w:rsidRDefault="00C8271C" w:rsidP="00C8271C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Pr="00A666AF" w:rsidRDefault="00C8271C" w:rsidP="00C8271C">
      <w:pPr>
        <w:spacing w:after="0" w:line="240" w:lineRule="auto"/>
        <w:ind w:firstLine="680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2.2 -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Среднегодовое понижение уровня выемки в зависимости от средней горизонтальной рудной площади этажа</w:t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C8271C" w:rsidTr="0036663B">
        <w:tc>
          <w:tcPr>
            <w:tcW w:w="1557" w:type="dxa"/>
          </w:tcPr>
          <w:p w:rsidR="00C8271C" w:rsidRPr="00E66AF5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vertAlign w:val="superscript"/>
                <w:lang w:eastAsia="ru-RU"/>
              </w:rPr>
            </w:pPr>
            <w:r w:rsidRPr="00E66AF5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S</w:t>
            </w:r>
            <w:r w:rsidRPr="00EA51AE">
              <w:rPr>
                <w:rFonts w:ascii="Times New Roman" w:eastAsia="Times New Roman" w:hAnsi="Times New Roman" w:cs="Arial"/>
                <w:sz w:val="28"/>
                <w:szCs w:val="28"/>
                <w:vertAlign w:val="subscript"/>
                <w:lang w:eastAsia="ru-RU"/>
              </w:rPr>
              <w:t>Г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, тыс.м</w:t>
            </w:r>
            <w:r>
              <w:rPr>
                <w:rFonts w:ascii="Times New Roman" w:eastAsia="Times New Roman" w:hAnsi="Times New Roman" w:cs="Arial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1557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&lt;4</w:t>
            </w:r>
          </w:p>
        </w:tc>
        <w:tc>
          <w:tcPr>
            <w:tcW w:w="1557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4-6</w:t>
            </w:r>
          </w:p>
        </w:tc>
        <w:tc>
          <w:tcPr>
            <w:tcW w:w="1558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6-12</w:t>
            </w:r>
          </w:p>
        </w:tc>
        <w:tc>
          <w:tcPr>
            <w:tcW w:w="1558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12-20</w:t>
            </w:r>
          </w:p>
        </w:tc>
        <w:tc>
          <w:tcPr>
            <w:tcW w:w="1558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&gt;20</w:t>
            </w:r>
          </w:p>
        </w:tc>
      </w:tr>
      <w:tr w:rsidR="00C8271C" w:rsidTr="0036663B">
        <w:tc>
          <w:tcPr>
            <w:tcW w:w="1557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A666AF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V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, </w:t>
            </w:r>
            <w:r w:rsidRPr="00E66AF5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м/год</w:t>
            </w:r>
          </w:p>
        </w:tc>
        <w:tc>
          <w:tcPr>
            <w:tcW w:w="1557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26-33</w:t>
            </w:r>
          </w:p>
        </w:tc>
        <w:tc>
          <w:tcPr>
            <w:tcW w:w="1557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23-30</w:t>
            </w:r>
          </w:p>
        </w:tc>
        <w:tc>
          <w:tcPr>
            <w:tcW w:w="1558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17-25</w:t>
            </w:r>
          </w:p>
        </w:tc>
        <w:tc>
          <w:tcPr>
            <w:tcW w:w="1558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13-22</w:t>
            </w:r>
          </w:p>
        </w:tc>
        <w:tc>
          <w:tcPr>
            <w:tcW w:w="1558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9-15</w:t>
            </w:r>
          </w:p>
        </w:tc>
      </w:tr>
    </w:tbl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2.3</w:t>
      </w: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</w:t>
      </w: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Поправочный коэффициент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1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>к величине годового понижения в зависимости от угла падения рудного тел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C8271C" w:rsidTr="0036663B"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6F481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Α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, град.</w:t>
            </w:r>
          </w:p>
        </w:tc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90</w:t>
            </w:r>
          </w:p>
        </w:tc>
      </w:tr>
      <w:tr w:rsidR="00C8271C" w:rsidTr="0036663B"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6F481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</w:t>
            </w:r>
            <w:r w:rsidRPr="006F481C">
              <w:rPr>
                <w:rFonts w:ascii="Times New Roman" w:eastAsia="Times New Roman" w:hAnsi="Times New Roman" w:cs="Arial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0,9</w:t>
            </w:r>
          </w:p>
        </w:tc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186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1,2</w:t>
            </w:r>
          </w:p>
        </w:tc>
      </w:tr>
    </w:tbl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0D7A1A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2.4</w:t>
      </w:r>
      <w:r w:rsidRPr="000D7A1A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</w:t>
      </w:r>
      <w:r w:rsidRPr="000D7A1A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Поправочный коэффициент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2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0D7A1A">
        <w:rPr>
          <w:rFonts w:ascii="Times New Roman" w:eastAsia="Times New Roman" w:hAnsi="Times New Roman" w:cs="Arial"/>
          <w:sz w:val="28"/>
          <w:szCs w:val="28"/>
          <w:lang w:eastAsia="ru-RU"/>
        </w:rPr>
        <w:t>к величине годового понижения в зависимости от мощности рудного тела m</w:t>
      </w:r>
    </w:p>
    <w:p w:rsidR="00C8271C" w:rsidRDefault="00C8271C" w:rsidP="00C8271C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w:drawing>
          <wp:inline distT="0" distB="0" distL="0" distR="0" wp14:anchorId="6C2B798D" wp14:editId="5AE318AC">
            <wp:extent cx="5934075" cy="447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2.5</w:t>
      </w: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</w:t>
      </w: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Поправочный коэффициент 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 w:rsidRPr="00A666AF"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>3</w:t>
      </w:r>
      <w:r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 xml:space="preserve"> </w:t>
      </w: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>к величине годового понижения в зависимости от применяемой системы разработки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9"/>
        <w:gridCol w:w="3396"/>
      </w:tblGrid>
      <w:tr w:rsidR="00C8271C" w:rsidTr="0036663B">
        <w:tc>
          <w:tcPr>
            <w:tcW w:w="5949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Система разработки</w:t>
            </w:r>
          </w:p>
        </w:tc>
        <w:tc>
          <w:tcPr>
            <w:tcW w:w="339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</w:t>
            </w:r>
            <w:r w:rsidRPr="00426BEC">
              <w:rPr>
                <w:rFonts w:ascii="Times New Roman" w:eastAsia="Times New Roman" w:hAnsi="Times New Roman" w:cs="Arial"/>
                <w:sz w:val="28"/>
                <w:szCs w:val="28"/>
                <w:vertAlign w:val="subscript"/>
                <w:lang w:eastAsia="ru-RU"/>
              </w:rPr>
              <w:t>3</w:t>
            </w:r>
          </w:p>
        </w:tc>
      </w:tr>
      <w:tr w:rsidR="00C8271C" w:rsidTr="0036663B">
        <w:tc>
          <w:tcPr>
            <w:tcW w:w="594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 открытым выработанным пространством без выемки целиков</w:t>
            </w:r>
          </w:p>
        </w:tc>
        <w:tc>
          <w:tcPr>
            <w:tcW w:w="339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1,0</w:t>
            </w:r>
          </w:p>
        </w:tc>
      </w:tr>
      <w:tr w:rsidR="00C8271C" w:rsidTr="0036663B">
        <w:tc>
          <w:tcPr>
            <w:tcW w:w="594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 открытым выработанным пространством с выемкой целиков </w:t>
            </w:r>
          </w:p>
        </w:tc>
        <w:tc>
          <w:tcPr>
            <w:tcW w:w="339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1,0</w:t>
            </w:r>
          </w:p>
        </w:tc>
      </w:tr>
      <w:tr w:rsidR="00C8271C" w:rsidTr="0036663B">
        <w:tc>
          <w:tcPr>
            <w:tcW w:w="594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 магазинированием</w:t>
            </w:r>
          </w:p>
        </w:tc>
        <w:tc>
          <w:tcPr>
            <w:tcW w:w="339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1,0</w:t>
            </w:r>
          </w:p>
        </w:tc>
      </w:tr>
      <w:tr w:rsidR="00C8271C" w:rsidTr="0036663B">
        <w:tc>
          <w:tcPr>
            <w:tcW w:w="5949" w:type="dxa"/>
          </w:tcPr>
          <w:p w:rsidR="00C8271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 креплением</w:t>
            </w:r>
          </w:p>
        </w:tc>
        <w:tc>
          <w:tcPr>
            <w:tcW w:w="339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0,9</w:t>
            </w:r>
          </w:p>
        </w:tc>
      </w:tr>
      <w:tr w:rsidR="00C8271C" w:rsidTr="0036663B">
        <w:tc>
          <w:tcPr>
            <w:tcW w:w="5949" w:type="dxa"/>
          </w:tcPr>
          <w:p w:rsidR="00C8271C" w:rsidRPr="00426BE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 закладкой</w:t>
            </w:r>
          </w:p>
        </w:tc>
        <w:tc>
          <w:tcPr>
            <w:tcW w:w="339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0,8</w:t>
            </w:r>
          </w:p>
        </w:tc>
      </w:tr>
      <w:tr w:rsidR="00C8271C" w:rsidTr="0036663B">
        <w:tc>
          <w:tcPr>
            <w:tcW w:w="5949" w:type="dxa"/>
          </w:tcPr>
          <w:p w:rsidR="00C8271C" w:rsidRPr="00426BE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Со слоевым обрушением</w:t>
            </w:r>
          </w:p>
        </w:tc>
        <w:tc>
          <w:tcPr>
            <w:tcW w:w="339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0,8</w:t>
            </w:r>
          </w:p>
        </w:tc>
      </w:tr>
      <w:tr w:rsidR="00C8271C" w:rsidTr="0036663B">
        <w:tc>
          <w:tcPr>
            <w:tcW w:w="5949" w:type="dxa"/>
          </w:tcPr>
          <w:p w:rsidR="00C8271C" w:rsidRPr="00426BE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 этажным обрушением</w:t>
            </w:r>
          </w:p>
        </w:tc>
        <w:tc>
          <w:tcPr>
            <w:tcW w:w="339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1,0</w:t>
            </w:r>
          </w:p>
        </w:tc>
      </w:tr>
      <w:tr w:rsidR="00C8271C" w:rsidTr="0036663B">
        <w:tc>
          <w:tcPr>
            <w:tcW w:w="5949" w:type="dxa"/>
          </w:tcPr>
          <w:p w:rsidR="00C8271C" w:rsidRPr="00426BEC" w:rsidRDefault="00C8271C" w:rsidP="0036663B">
            <w:pPr>
              <w:jc w:val="both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426BEC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 подэтажным обрушением</w:t>
            </w:r>
          </w:p>
        </w:tc>
        <w:tc>
          <w:tcPr>
            <w:tcW w:w="339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1,0</w:t>
            </w:r>
          </w:p>
        </w:tc>
      </w:tr>
    </w:tbl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2.6</w:t>
      </w: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</w:t>
      </w: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Поправочный коэффициент </w:t>
      </w:r>
      <w:r w:rsidRPr="00A666AF">
        <w:rPr>
          <w:rFonts w:ascii="Times New Roman" w:eastAsia="Times New Roman" w:hAnsi="Times New Roman" w:cs="Arial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Arial"/>
          <w:sz w:val="28"/>
          <w:szCs w:val="28"/>
          <w:vertAlign w:val="subscript"/>
          <w:lang w:eastAsia="ru-RU"/>
        </w:rPr>
        <w:t xml:space="preserve">4 </w:t>
      </w:r>
      <w:r w:rsidRPr="006F481C">
        <w:rPr>
          <w:rFonts w:ascii="Times New Roman" w:eastAsia="Times New Roman" w:hAnsi="Times New Roman" w:cs="Arial"/>
          <w:sz w:val="28"/>
          <w:szCs w:val="28"/>
          <w:lang w:eastAsia="ru-RU"/>
        </w:rPr>
        <w:t>к величине годового понижения в зависимости от числа этажей находящихся одновременно в отработке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C8271C" w:rsidTr="0036663B">
        <w:trPr>
          <w:jc w:val="center"/>
        </w:trPr>
        <w:tc>
          <w:tcPr>
            <w:tcW w:w="2336" w:type="dxa"/>
          </w:tcPr>
          <w:p w:rsidR="00C8271C" w:rsidRPr="00426BE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vertAlign w:val="subscript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val="en-US" w:eastAsia="ru-RU"/>
              </w:rPr>
              <w:t>N</w:t>
            </w:r>
            <w:r>
              <w:rPr>
                <w:rFonts w:ascii="Times New Roman" w:eastAsia="Times New Roman" w:hAnsi="Times New Roman" w:cs="Arial"/>
                <w:sz w:val="28"/>
                <w:szCs w:val="28"/>
                <w:vertAlign w:val="subscript"/>
                <w:lang w:eastAsia="ru-RU"/>
              </w:rPr>
              <w:t>ЭТ</w:t>
            </w:r>
          </w:p>
        </w:tc>
        <w:tc>
          <w:tcPr>
            <w:tcW w:w="233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3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37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≥</w:t>
            </w:r>
          </w:p>
        </w:tc>
      </w:tr>
      <w:tr w:rsidR="00C8271C" w:rsidTr="0036663B">
        <w:trPr>
          <w:jc w:val="center"/>
        </w:trPr>
        <w:tc>
          <w:tcPr>
            <w:tcW w:w="2336" w:type="dxa"/>
          </w:tcPr>
          <w:p w:rsidR="00C8271C" w:rsidRPr="00426BE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vertAlign w:val="subscript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</w:t>
            </w:r>
            <w:r>
              <w:rPr>
                <w:rFonts w:ascii="Times New Roman" w:eastAsia="Times New Roman" w:hAnsi="Times New Roman" w:cs="Arial"/>
                <w:sz w:val="28"/>
                <w:szCs w:val="28"/>
                <w:vertAlign w:val="subscript"/>
                <w:lang w:eastAsia="ru-RU"/>
              </w:rPr>
              <w:t>4</w:t>
            </w:r>
          </w:p>
        </w:tc>
        <w:tc>
          <w:tcPr>
            <w:tcW w:w="233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2336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1,2-1,5</w:t>
            </w:r>
          </w:p>
        </w:tc>
        <w:tc>
          <w:tcPr>
            <w:tcW w:w="2337" w:type="dxa"/>
          </w:tcPr>
          <w:p w:rsidR="00C8271C" w:rsidRDefault="00C8271C" w:rsidP="0036663B">
            <w:pPr>
              <w:jc w:val="center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1,5-1,7</w:t>
            </w:r>
          </w:p>
        </w:tc>
      </w:tr>
    </w:tbl>
    <w:p w:rsidR="00C8271C" w:rsidRPr="006F481C" w:rsidRDefault="00C8271C" w:rsidP="00C8271C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C8271C" w:rsidRPr="00C8271C" w:rsidRDefault="00C8271C" w:rsidP="00C827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8271C" w:rsidRPr="00C82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71C"/>
    <w:rsid w:val="00A44335"/>
    <w:rsid w:val="00C8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12F77"/>
  <w15:chartTrackingRefBased/>
  <w15:docId w15:val="{83150A84-5CF5-4D05-A59C-ADE5E5D31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2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1303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2020-01-31T08:47:00Z</dcterms:created>
  <dcterms:modified xsi:type="dcterms:W3CDTF">2020-01-31T08:50:00Z</dcterms:modified>
</cp:coreProperties>
</file>